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9A046" w14:textId="77777777" w:rsidR="00017B1C" w:rsidRDefault="00017B1C" w:rsidP="00017B1C">
      <w:pPr>
        <w:jc w:val="center"/>
        <w:rPr>
          <w:b/>
          <w:bCs/>
        </w:rPr>
      </w:pPr>
    </w:p>
    <w:p w14:paraId="066CA1E0" w14:textId="77777777" w:rsidR="00017B1C" w:rsidRDefault="00017B1C" w:rsidP="00017B1C">
      <w:pPr>
        <w:jc w:val="center"/>
        <w:rPr>
          <w:b/>
          <w:bCs/>
        </w:rPr>
      </w:pPr>
    </w:p>
    <w:p w14:paraId="365578B4" w14:textId="77777777" w:rsidR="00017B1C" w:rsidRDefault="00017B1C" w:rsidP="00017B1C">
      <w:pPr>
        <w:jc w:val="center"/>
        <w:rPr>
          <w:b/>
          <w:bCs/>
        </w:rPr>
      </w:pPr>
    </w:p>
    <w:p w14:paraId="67CA2739" w14:textId="108AC287" w:rsidR="00017B1C" w:rsidRPr="00017B1C" w:rsidRDefault="00017B1C" w:rsidP="00017B1C">
      <w:pPr>
        <w:jc w:val="center"/>
        <w:rPr>
          <w:b/>
          <w:bCs/>
        </w:rPr>
      </w:pPr>
      <w:r w:rsidRPr="00017B1C">
        <w:rPr>
          <w:b/>
          <w:bCs/>
        </w:rPr>
        <w:t>ESKOM HOLDINGS SOC LTD</w:t>
      </w:r>
    </w:p>
    <w:p w14:paraId="514F94B7" w14:textId="3774D59D" w:rsidR="00017B1C" w:rsidRDefault="00017B1C" w:rsidP="00017B1C">
      <w:pPr>
        <w:jc w:val="center"/>
        <w:rPr>
          <w:b/>
          <w:bCs/>
        </w:rPr>
      </w:pPr>
      <w:r w:rsidRPr="00017B1C">
        <w:rPr>
          <w:b/>
          <w:bCs/>
        </w:rPr>
        <w:t>INVITATION TO TENDER</w:t>
      </w:r>
    </w:p>
    <w:p w14:paraId="1833C014" w14:textId="77777777" w:rsidR="00017B1C" w:rsidRPr="00017B1C" w:rsidRDefault="00017B1C" w:rsidP="00017B1C">
      <w:pPr>
        <w:jc w:val="center"/>
        <w:rPr>
          <w:b/>
          <w:bCs/>
        </w:rPr>
      </w:pPr>
    </w:p>
    <w:p w14:paraId="7509169B" w14:textId="77777777" w:rsidR="00017B1C" w:rsidRPr="00017B1C" w:rsidRDefault="00017B1C" w:rsidP="00017B1C">
      <w:pPr>
        <w:jc w:val="center"/>
        <w:rPr>
          <w:b/>
          <w:bCs/>
        </w:rPr>
      </w:pPr>
      <w:r w:rsidRPr="00017B1C">
        <w:rPr>
          <w:b/>
          <w:bCs/>
        </w:rPr>
        <w:t>FOR</w:t>
      </w:r>
    </w:p>
    <w:p w14:paraId="1AB030DD" w14:textId="56A91A9A" w:rsidR="0080229C" w:rsidRPr="0080229C" w:rsidRDefault="0080229C" w:rsidP="0080229C">
      <w:pPr>
        <w:jc w:val="center"/>
        <w:rPr>
          <w:b/>
          <w:bCs/>
        </w:rPr>
      </w:pPr>
      <w:r>
        <w:rPr>
          <w:b/>
          <w:bCs/>
        </w:rPr>
        <w:t>P</w:t>
      </w:r>
      <w:r w:rsidRPr="0080229C">
        <w:rPr>
          <w:b/>
          <w:bCs/>
        </w:rPr>
        <w:t>rovision of</w:t>
      </w:r>
    </w:p>
    <w:p w14:paraId="744F58D6" w14:textId="77777777" w:rsidR="0080229C" w:rsidRPr="0080229C" w:rsidRDefault="0080229C" w:rsidP="0080229C">
      <w:pPr>
        <w:jc w:val="center"/>
        <w:rPr>
          <w:b/>
          <w:bCs/>
        </w:rPr>
      </w:pPr>
      <w:r w:rsidRPr="0080229C">
        <w:rPr>
          <w:b/>
          <w:bCs/>
        </w:rPr>
        <w:t>security cash transport from Eskom Academy of Learning and Megawatt Park for the period of</w:t>
      </w:r>
    </w:p>
    <w:p w14:paraId="2450ABA1" w14:textId="230FFFAE" w:rsidR="00017B1C" w:rsidRDefault="0080229C" w:rsidP="0080229C">
      <w:pPr>
        <w:jc w:val="center"/>
        <w:rPr>
          <w:b/>
          <w:bCs/>
        </w:rPr>
      </w:pPr>
      <w:r w:rsidRPr="0080229C">
        <w:rPr>
          <w:b/>
          <w:bCs/>
        </w:rPr>
        <w:t>three (3) years on an ‘as and when’ required basis</w:t>
      </w:r>
    </w:p>
    <w:p w14:paraId="158AFEA1" w14:textId="10572728" w:rsidR="00017B1C" w:rsidRDefault="00017B1C" w:rsidP="00017B1C">
      <w:pPr>
        <w:jc w:val="center"/>
        <w:rPr>
          <w:b/>
          <w:bCs/>
        </w:rPr>
      </w:pPr>
    </w:p>
    <w:p w14:paraId="7A85D3A3" w14:textId="530F952A" w:rsidR="00017B1C" w:rsidRDefault="00017B1C" w:rsidP="00017B1C">
      <w:pPr>
        <w:jc w:val="center"/>
        <w:rPr>
          <w:b/>
          <w:bCs/>
        </w:rPr>
      </w:pPr>
      <w:r w:rsidRPr="00017B1C">
        <w:rPr>
          <w:b/>
          <w:bCs/>
        </w:rPr>
        <w:t>Tender number</w:t>
      </w:r>
      <w:r>
        <w:rPr>
          <w:b/>
          <w:bCs/>
        </w:rPr>
        <w:t xml:space="preserve"> </w:t>
      </w:r>
      <w:r w:rsidRPr="00017B1C">
        <w:rPr>
          <w:b/>
          <w:bCs/>
        </w:rPr>
        <w:t>MWP14</w:t>
      </w:r>
      <w:r w:rsidR="0080229C">
        <w:rPr>
          <w:b/>
          <w:bCs/>
        </w:rPr>
        <w:t>30</w:t>
      </w:r>
      <w:r w:rsidRPr="00017B1C">
        <w:rPr>
          <w:b/>
          <w:bCs/>
        </w:rPr>
        <w:t>CX</w:t>
      </w:r>
      <w:r w:rsidR="0080229C">
        <w:rPr>
          <w:b/>
          <w:bCs/>
        </w:rPr>
        <w:t>-R</w:t>
      </w:r>
    </w:p>
    <w:p w14:paraId="7EF246DA" w14:textId="2F95240A" w:rsidR="00017B1C" w:rsidRDefault="00017B1C" w:rsidP="00017B1C">
      <w:pPr>
        <w:jc w:val="center"/>
        <w:rPr>
          <w:b/>
          <w:bCs/>
        </w:rPr>
      </w:pPr>
    </w:p>
    <w:p w14:paraId="07945D71" w14:textId="61D1684E" w:rsidR="00017B1C" w:rsidRDefault="00017B1C" w:rsidP="00017B1C">
      <w:pPr>
        <w:jc w:val="center"/>
        <w:rPr>
          <w:b/>
          <w:bCs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421"/>
        <w:gridCol w:w="5670"/>
        <w:gridCol w:w="3402"/>
      </w:tblGrid>
      <w:tr w:rsidR="00017B1C" w14:paraId="14A97038" w14:textId="77777777" w:rsidTr="0028009B">
        <w:trPr>
          <w:trHeight w:val="441"/>
        </w:trPr>
        <w:tc>
          <w:tcPr>
            <w:tcW w:w="421" w:type="dxa"/>
          </w:tcPr>
          <w:p w14:paraId="157AC05A" w14:textId="77777777" w:rsidR="00017B1C" w:rsidRDefault="00017B1C" w:rsidP="00017B1C">
            <w:pPr>
              <w:rPr>
                <w:b/>
                <w:bCs/>
              </w:rPr>
            </w:pPr>
          </w:p>
        </w:tc>
        <w:tc>
          <w:tcPr>
            <w:tcW w:w="5670" w:type="dxa"/>
          </w:tcPr>
          <w:p w14:paraId="7CE94603" w14:textId="534AA248" w:rsidR="00017B1C" w:rsidRDefault="00017B1C" w:rsidP="00017B1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Questions </w:t>
            </w:r>
          </w:p>
        </w:tc>
        <w:tc>
          <w:tcPr>
            <w:tcW w:w="3402" w:type="dxa"/>
          </w:tcPr>
          <w:p w14:paraId="2131F5A5" w14:textId="7200F8DD" w:rsidR="00017B1C" w:rsidRDefault="00017B1C" w:rsidP="00017B1C">
            <w:pPr>
              <w:rPr>
                <w:b/>
                <w:bCs/>
              </w:rPr>
            </w:pPr>
            <w:r>
              <w:rPr>
                <w:b/>
                <w:bCs/>
              </w:rPr>
              <w:t>Answers</w:t>
            </w:r>
          </w:p>
        </w:tc>
      </w:tr>
      <w:tr w:rsidR="00017B1C" w14:paraId="7118808E" w14:textId="77777777" w:rsidTr="0028009B">
        <w:tc>
          <w:tcPr>
            <w:tcW w:w="421" w:type="dxa"/>
          </w:tcPr>
          <w:p w14:paraId="4342CD70" w14:textId="115AF756" w:rsidR="00017B1C" w:rsidRDefault="00017B1C" w:rsidP="00017B1C">
            <w:pPr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5670" w:type="dxa"/>
          </w:tcPr>
          <w:p w14:paraId="79BC26D9" w14:textId="2C96A52C" w:rsidR="00017B1C" w:rsidRPr="0028009B" w:rsidRDefault="0028009B" w:rsidP="0028009B">
            <w:pPr>
              <w:jc w:val="both"/>
            </w:pPr>
            <w:r w:rsidRPr="0028009B">
              <w:t>The Cash</w:t>
            </w:r>
            <w:r w:rsidR="00D169D8">
              <w:t>-</w:t>
            </w:r>
            <w:r w:rsidRPr="0028009B">
              <w:t>In</w:t>
            </w:r>
            <w:r w:rsidR="00D169D8">
              <w:t>-</w:t>
            </w:r>
            <w:r w:rsidRPr="0028009B">
              <w:t>Transit services you require from the 2 sites (Eskom Academy of Learning and Megawatt Park), how many times a week do you require this service and can the days in the week be fixed?</w:t>
            </w:r>
          </w:p>
        </w:tc>
        <w:tc>
          <w:tcPr>
            <w:tcW w:w="3402" w:type="dxa"/>
          </w:tcPr>
          <w:p w14:paraId="74D02B42" w14:textId="50C990FB" w:rsidR="00017B1C" w:rsidRDefault="0090443F" w:rsidP="00017B1C">
            <w:pPr>
              <w:rPr>
                <w:b/>
                <w:bCs/>
              </w:rPr>
            </w:pPr>
            <w:r>
              <w:rPr>
                <w:b/>
                <w:bCs/>
              </w:rPr>
              <w:t>Please price per occasion on an as and when required basis.</w:t>
            </w:r>
          </w:p>
        </w:tc>
      </w:tr>
      <w:tr w:rsidR="00017B1C" w14:paraId="05A1A447" w14:textId="77777777" w:rsidTr="0028009B">
        <w:tc>
          <w:tcPr>
            <w:tcW w:w="421" w:type="dxa"/>
          </w:tcPr>
          <w:p w14:paraId="5408B1E9" w14:textId="5422E626" w:rsidR="00017B1C" w:rsidRDefault="0028009B" w:rsidP="00017B1C">
            <w:pPr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5670" w:type="dxa"/>
          </w:tcPr>
          <w:p w14:paraId="62126DF4" w14:textId="4EECF925" w:rsidR="00017B1C" w:rsidRPr="0028009B" w:rsidRDefault="0028009B" w:rsidP="0028009B">
            <w:pPr>
              <w:jc w:val="both"/>
            </w:pPr>
            <w:r w:rsidRPr="0028009B">
              <w:t>Or is this purely a “As and When” required basis? If so, we can only quote you on the per occasion/ collection price and not a price for the whole 36 months.</w:t>
            </w:r>
          </w:p>
        </w:tc>
        <w:tc>
          <w:tcPr>
            <w:tcW w:w="3402" w:type="dxa"/>
          </w:tcPr>
          <w:p w14:paraId="6C9E07E4" w14:textId="368DFA3A" w:rsidR="00017B1C" w:rsidRDefault="0090443F" w:rsidP="00017B1C">
            <w:pPr>
              <w:rPr>
                <w:b/>
                <w:bCs/>
              </w:rPr>
            </w:pPr>
            <w:r>
              <w:rPr>
                <w:b/>
                <w:bCs/>
              </w:rPr>
              <w:t>Please price per occasion on an as and when required basis.</w:t>
            </w:r>
          </w:p>
        </w:tc>
      </w:tr>
      <w:tr w:rsidR="0028009B" w14:paraId="686F2F0E" w14:textId="77777777" w:rsidTr="0028009B">
        <w:tc>
          <w:tcPr>
            <w:tcW w:w="421" w:type="dxa"/>
          </w:tcPr>
          <w:p w14:paraId="00600DF1" w14:textId="4F39C345" w:rsidR="0028009B" w:rsidRDefault="0028009B" w:rsidP="00017B1C">
            <w:pPr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5670" w:type="dxa"/>
          </w:tcPr>
          <w:p w14:paraId="00038922" w14:textId="12620A50" w:rsidR="0028009B" w:rsidRPr="0028009B" w:rsidRDefault="0028009B" w:rsidP="0028009B">
            <w:pPr>
              <w:jc w:val="both"/>
            </w:pPr>
            <w:r w:rsidRPr="0028009B">
              <w:t xml:space="preserve">When the cash is collected from these sites, is there a specific delivery point where the cash must be </w:t>
            </w:r>
            <w:r w:rsidR="00D8142B" w:rsidRPr="0028009B">
              <w:t>delivered,</w:t>
            </w:r>
            <w:r w:rsidRPr="0028009B">
              <w:t xml:space="preserve"> or can we follow our standard Cash Management solution of processing it through our cash processing facilities and do an EFT to your dedicated bank accounts on a “Next Day” basis?</w:t>
            </w:r>
          </w:p>
        </w:tc>
        <w:tc>
          <w:tcPr>
            <w:tcW w:w="3402" w:type="dxa"/>
          </w:tcPr>
          <w:p w14:paraId="5D3348E2" w14:textId="77777777" w:rsidR="00D8142B" w:rsidRDefault="00D8142B" w:rsidP="00D8142B">
            <w:pPr>
              <w:tabs>
                <w:tab w:val="left" w:pos="-709"/>
                <w:tab w:val="num" w:pos="1333"/>
              </w:tabs>
              <w:ind w:right="-2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Collect cash from Eskom Academy of Leaning and Megawatt Park Petty cash offices and deposit into one of the approved First National Bank Branches.</w:t>
            </w:r>
          </w:p>
          <w:p w14:paraId="22B081C5" w14:textId="4A55C9A6" w:rsidR="0028009B" w:rsidRDefault="0028009B" w:rsidP="00017B1C">
            <w:pPr>
              <w:rPr>
                <w:b/>
                <w:bCs/>
              </w:rPr>
            </w:pPr>
          </w:p>
        </w:tc>
      </w:tr>
      <w:tr w:rsidR="0028009B" w14:paraId="753F6453" w14:textId="77777777" w:rsidTr="0028009B">
        <w:tc>
          <w:tcPr>
            <w:tcW w:w="421" w:type="dxa"/>
          </w:tcPr>
          <w:p w14:paraId="65522CE7" w14:textId="525BF7C1" w:rsidR="0028009B" w:rsidRDefault="0028009B" w:rsidP="00017B1C">
            <w:pPr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5670" w:type="dxa"/>
          </w:tcPr>
          <w:p w14:paraId="1C9182BF" w14:textId="110A5C35" w:rsidR="0028009B" w:rsidRPr="0028009B" w:rsidRDefault="0028009B" w:rsidP="0028009B">
            <w:pPr>
              <w:jc w:val="both"/>
            </w:pPr>
            <w:r w:rsidRPr="0028009B">
              <w:t xml:space="preserve">Point 3 above has reference, </w:t>
            </w:r>
            <w:r w:rsidR="00D8142B" w:rsidRPr="0028009B">
              <w:t>if</w:t>
            </w:r>
            <w:r w:rsidRPr="0028009B">
              <w:t xml:space="preserve"> processed through our cash centres, what is the average monthly cash collected from the 2 sites to enable me to provide you with a costing on the cash processing fee (the rate will be fixed, but the total cost will be based on the cash processed in the month)?</w:t>
            </w:r>
          </w:p>
        </w:tc>
        <w:tc>
          <w:tcPr>
            <w:tcW w:w="3402" w:type="dxa"/>
          </w:tcPr>
          <w:p w14:paraId="15519149" w14:textId="7CFCB24C" w:rsidR="0028009B" w:rsidRDefault="00D8142B" w:rsidP="00017B1C">
            <w:pPr>
              <w:rPr>
                <w:b/>
                <w:bCs/>
              </w:rPr>
            </w:pPr>
            <w:r>
              <w:rPr>
                <w:b/>
                <w:bCs/>
              </w:rPr>
              <w:t>Ref Point 3</w:t>
            </w:r>
          </w:p>
        </w:tc>
      </w:tr>
    </w:tbl>
    <w:p w14:paraId="399B5147" w14:textId="77777777" w:rsidR="00017B1C" w:rsidRPr="00017B1C" w:rsidRDefault="00017B1C" w:rsidP="00017B1C">
      <w:pPr>
        <w:rPr>
          <w:b/>
          <w:bCs/>
        </w:rPr>
      </w:pPr>
    </w:p>
    <w:sectPr w:rsidR="00017B1C" w:rsidRPr="00017B1C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5B9C2" w14:textId="77777777" w:rsidR="00C116ED" w:rsidRDefault="00C116ED" w:rsidP="00017B1C">
      <w:pPr>
        <w:spacing w:after="0" w:line="240" w:lineRule="auto"/>
      </w:pPr>
      <w:r>
        <w:separator/>
      </w:r>
    </w:p>
  </w:endnote>
  <w:endnote w:type="continuationSeparator" w:id="0">
    <w:p w14:paraId="018858F6" w14:textId="77777777" w:rsidR="00C116ED" w:rsidRDefault="00C116ED" w:rsidP="00017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04E75" w14:textId="77777777" w:rsidR="00C116ED" w:rsidRDefault="00C116ED" w:rsidP="00017B1C">
      <w:pPr>
        <w:spacing w:after="0" w:line="240" w:lineRule="auto"/>
      </w:pPr>
      <w:r>
        <w:separator/>
      </w:r>
    </w:p>
  </w:footnote>
  <w:footnote w:type="continuationSeparator" w:id="0">
    <w:p w14:paraId="173F0104" w14:textId="77777777" w:rsidR="00C116ED" w:rsidRDefault="00C116ED" w:rsidP="00017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00" w:type="dxa"/>
        <w:right w:w="100" w:type="dxa"/>
      </w:tblCellMar>
      <w:tblLook w:val="0000" w:firstRow="0" w:lastRow="0" w:firstColumn="0" w:lastColumn="0" w:noHBand="0" w:noVBand="0"/>
    </w:tblPr>
    <w:tblGrid>
      <w:gridCol w:w="2410"/>
      <w:gridCol w:w="3544"/>
      <w:gridCol w:w="1559"/>
      <w:gridCol w:w="1701"/>
      <w:gridCol w:w="567"/>
      <w:gridCol w:w="567"/>
    </w:tblGrid>
    <w:tr w:rsidR="00017B1C" w:rsidRPr="00017B1C" w14:paraId="26CED5B8" w14:textId="77777777" w:rsidTr="00BA4EE2">
      <w:trPr>
        <w:cantSplit/>
        <w:trHeight w:val="539"/>
        <w:jc w:val="center"/>
      </w:trPr>
      <w:tc>
        <w:tcPr>
          <w:tcW w:w="2410" w:type="dxa"/>
          <w:vMerge w:val="restart"/>
          <w:vAlign w:val="center"/>
        </w:tcPr>
        <w:p w14:paraId="10E3931E" w14:textId="77777777" w:rsidR="00017B1C" w:rsidRPr="00017B1C" w:rsidRDefault="00C116ED" w:rsidP="00017B1C">
          <w:pPr>
            <w:pStyle w:val="Header"/>
            <w:rPr>
              <w:b/>
              <w:lang w:val="en-GB"/>
            </w:rPr>
          </w:pPr>
          <w:r>
            <w:rPr>
              <w:b/>
              <w:lang w:val="en-GB"/>
            </w:rPr>
            <w:object w:dxaOrig="1440" w:dyaOrig="1440" w14:anchorId="6E56C3B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5" type="#_x0000_t75" style="position:absolute;margin-left:3.7pt;margin-top:-.1pt;width:112.15pt;height:29.9pt;z-index:251659264;visibility:visible;mso-wrap-edited:f;mso-position-horizontal-relative:page;mso-position-vertical-relative:page">
                <v:imagedata r:id="rId1" o:title="" grayscale="t" bilevel="t"/>
                <w10:wrap anchorx="page" anchory="page"/>
              </v:shape>
              <o:OLEObject Type="Embed" ProgID="Word.Picture.8" ShapeID="_x0000_s1025" DrawAspect="Content" ObjectID="_1725353749" r:id="rId2"/>
            </w:object>
          </w:r>
        </w:p>
      </w:tc>
      <w:tc>
        <w:tcPr>
          <w:tcW w:w="3544" w:type="dxa"/>
          <w:vMerge w:val="restart"/>
          <w:vAlign w:val="center"/>
        </w:tcPr>
        <w:p w14:paraId="058F97CE" w14:textId="4AF15F9D" w:rsidR="00017B1C" w:rsidRPr="00017B1C" w:rsidRDefault="00017B1C" w:rsidP="00017B1C">
          <w:pPr>
            <w:pStyle w:val="Header"/>
            <w:rPr>
              <w:b/>
              <w:bCs/>
              <w:lang w:val="en-GB"/>
            </w:rPr>
          </w:pPr>
          <w:r>
            <w:rPr>
              <w:b/>
              <w:bCs/>
              <w:lang w:val="en-GB"/>
            </w:rPr>
            <w:t xml:space="preserve">   Questions and answers</w:t>
          </w:r>
        </w:p>
      </w:tc>
      <w:tc>
        <w:tcPr>
          <w:tcW w:w="1559" w:type="dxa"/>
          <w:shd w:val="clear" w:color="auto" w:fill="auto"/>
          <w:vAlign w:val="center"/>
        </w:tcPr>
        <w:p w14:paraId="70BF6C43" w14:textId="77777777" w:rsidR="00017B1C" w:rsidRPr="00017B1C" w:rsidRDefault="00017B1C" w:rsidP="00017B1C">
          <w:pPr>
            <w:pStyle w:val="Header"/>
            <w:rPr>
              <w:b/>
              <w:bCs/>
              <w:lang w:val="en-GB"/>
            </w:rPr>
          </w:pPr>
          <w:r w:rsidRPr="00017B1C">
            <w:rPr>
              <w:b/>
              <w:bCs/>
              <w:lang w:val="en-GB"/>
            </w:rPr>
            <w:t>Document Identifier</w:t>
          </w:r>
        </w:p>
      </w:tc>
      <w:tc>
        <w:tcPr>
          <w:tcW w:w="1701" w:type="dxa"/>
          <w:shd w:val="clear" w:color="auto" w:fill="auto"/>
          <w:vAlign w:val="center"/>
        </w:tcPr>
        <w:p w14:paraId="7AA9298B" w14:textId="28EDE380" w:rsidR="00017B1C" w:rsidRPr="00017B1C" w:rsidRDefault="00017B1C" w:rsidP="00017B1C">
          <w:pPr>
            <w:pStyle w:val="Header"/>
            <w:rPr>
              <w:bCs/>
              <w:lang w:val="en-GB"/>
            </w:rPr>
          </w:pPr>
        </w:p>
      </w:tc>
      <w:tc>
        <w:tcPr>
          <w:tcW w:w="567" w:type="dxa"/>
          <w:shd w:val="clear" w:color="auto" w:fill="auto"/>
          <w:vAlign w:val="center"/>
        </w:tcPr>
        <w:p w14:paraId="46ABA638" w14:textId="77777777" w:rsidR="00017B1C" w:rsidRPr="00017B1C" w:rsidRDefault="00017B1C" w:rsidP="00017B1C">
          <w:pPr>
            <w:pStyle w:val="Header"/>
            <w:rPr>
              <w:b/>
              <w:lang w:val="en-GB"/>
            </w:rPr>
          </w:pPr>
          <w:r w:rsidRPr="00017B1C">
            <w:rPr>
              <w:b/>
              <w:lang w:val="en-GB"/>
            </w:rPr>
            <w:t>Rev</w:t>
          </w:r>
        </w:p>
      </w:tc>
      <w:tc>
        <w:tcPr>
          <w:tcW w:w="567" w:type="dxa"/>
          <w:shd w:val="clear" w:color="auto" w:fill="auto"/>
          <w:vAlign w:val="center"/>
        </w:tcPr>
        <w:p w14:paraId="42147B66" w14:textId="5698C64B" w:rsidR="00017B1C" w:rsidRPr="00017B1C" w:rsidRDefault="00017B1C" w:rsidP="00017B1C">
          <w:pPr>
            <w:pStyle w:val="Header"/>
            <w:rPr>
              <w:bCs/>
              <w:lang w:val="en-GB"/>
            </w:rPr>
          </w:pPr>
        </w:p>
      </w:tc>
    </w:tr>
    <w:tr w:rsidR="00017B1C" w:rsidRPr="00017B1C" w14:paraId="67FDC63C" w14:textId="77777777" w:rsidTr="00BA4EE2">
      <w:trPr>
        <w:cantSplit/>
        <w:trHeight w:val="261"/>
        <w:jc w:val="center"/>
      </w:trPr>
      <w:tc>
        <w:tcPr>
          <w:tcW w:w="2410" w:type="dxa"/>
          <w:vMerge/>
          <w:vAlign w:val="bottom"/>
        </w:tcPr>
        <w:p w14:paraId="67E9A944" w14:textId="77777777" w:rsidR="00017B1C" w:rsidRPr="00017B1C" w:rsidRDefault="00017B1C" w:rsidP="00017B1C">
          <w:pPr>
            <w:pStyle w:val="Header"/>
            <w:rPr>
              <w:b/>
              <w:lang w:val="en-GB"/>
            </w:rPr>
          </w:pPr>
        </w:p>
      </w:tc>
      <w:tc>
        <w:tcPr>
          <w:tcW w:w="3544" w:type="dxa"/>
          <w:vMerge/>
          <w:vAlign w:val="center"/>
        </w:tcPr>
        <w:p w14:paraId="0A0F831A" w14:textId="77777777" w:rsidR="00017B1C" w:rsidRPr="00017B1C" w:rsidRDefault="00017B1C" w:rsidP="00017B1C">
          <w:pPr>
            <w:pStyle w:val="Header"/>
            <w:rPr>
              <w:b/>
              <w:lang w:val="en-GB"/>
            </w:rPr>
          </w:pPr>
        </w:p>
      </w:tc>
      <w:tc>
        <w:tcPr>
          <w:tcW w:w="1559" w:type="dxa"/>
          <w:shd w:val="clear" w:color="auto" w:fill="auto"/>
          <w:vAlign w:val="center"/>
        </w:tcPr>
        <w:p w14:paraId="1025376B" w14:textId="77777777" w:rsidR="00017B1C" w:rsidRPr="00017B1C" w:rsidRDefault="00017B1C" w:rsidP="00017B1C">
          <w:pPr>
            <w:pStyle w:val="Header"/>
            <w:rPr>
              <w:b/>
              <w:lang w:val="en-GB"/>
            </w:rPr>
          </w:pPr>
          <w:r w:rsidRPr="00017B1C">
            <w:rPr>
              <w:b/>
              <w:lang w:val="en-GB"/>
            </w:rPr>
            <w:t>Effective Date</w:t>
          </w:r>
        </w:p>
      </w:tc>
      <w:tc>
        <w:tcPr>
          <w:tcW w:w="2835" w:type="dxa"/>
          <w:gridSpan w:val="3"/>
          <w:shd w:val="clear" w:color="auto" w:fill="auto"/>
          <w:vAlign w:val="center"/>
        </w:tcPr>
        <w:p w14:paraId="7ECBB578" w14:textId="7B029460" w:rsidR="00017B1C" w:rsidRPr="00017B1C" w:rsidRDefault="00017B1C" w:rsidP="00017B1C">
          <w:pPr>
            <w:pStyle w:val="Header"/>
            <w:rPr>
              <w:bCs/>
              <w:lang w:val="en-GB"/>
            </w:rPr>
          </w:pPr>
        </w:p>
      </w:tc>
    </w:tr>
    <w:tr w:rsidR="00017B1C" w:rsidRPr="00017B1C" w14:paraId="418A3351" w14:textId="77777777" w:rsidTr="00BA4EE2">
      <w:trPr>
        <w:cantSplit/>
        <w:trHeight w:hRule="exact" w:val="261"/>
        <w:jc w:val="center"/>
      </w:trPr>
      <w:tc>
        <w:tcPr>
          <w:tcW w:w="2410" w:type="dxa"/>
          <w:vMerge/>
          <w:vAlign w:val="bottom"/>
        </w:tcPr>
        <w:p w14:paraId="0DAADF91" w14:textId="77777777" w:rsidR="00017B1C" w:rsidRPr="00017B1C" w:rsidRDefault="00017B1C" w:rsidP="00017B1C">
          <w:pPr>
            <w:pStyle w:val="Header"/>
            <w:rPr>
              <w:b/>
              <w:lang w:val="en-GB"/>
            </w:rPr>
          </w:pPr>
        </w:p>
      </w:tc>
      <w:tc>
        <w:tcPr>
          <w:tcW w:w="3544" w:type="dxa"/>
          <w:vMerge/>
          <w:vAlign w:val="center"/>
        </w:tcPr>
        <w:p w14:paraId="6F4F6323" w14:textId="77777777" w:rsidR="00017B1C" w:rsidRPr="00017B1C" w:rsidRDefault="00017B1C" w:rsidP="00017B1C">
          <w:pPr>
            <w:pStyle w:val="Header"/>
            <w:rPr>
              <w:b/>
              <w:lang w:val="en-GB"/>
            </w:rPr>
          </w:pPr>
        </w:p>
      </w:tc>
      <w:tc>
        <w:tcPr>
          <w:tcW w:w="1559" w:type="dxa"/>
          <w:shd w:val="clear" w:color="auto" w:fill="auto"/>
          <w:vAlign w:val="center"/>
        </w:tcPr>
        <w:p w14:paraId="539B2F06" w14:textId="77777777" w:rsidR="00017B1C" w:rsidRPr="00017B1C" w:rsidRDefault="00017B1C" w:rsidP="00017B1C">
          <w:pPr>
            <w:pStyle w:val="Header"/>
            <w:rPr>
              <w:b/>
              <w:lang w:val="en-GB"/>
            </w:rPr>
          </w:pPr>
          <w:r w:rsidRPr="00017B1C">
            <w:rPr>
              <w:b/>
              <w:lang w:val="en-GB"/>
            </w:rPr>
            <w:t>Review Date</w:t>
          </w:r>
        </w:p>
      </w:tc>
      <w:tc>
        <w:tcPr>
          <w:tcW w:w="2835" w:type="dxa"/>
          <w:gridSpan w:val="3"/>
          <w:shd w:val="clear" w:color="auto" w:fill="auto"/>
          <w:vAlign w:val="center"/>
        </w:tcPr>
        <w:p w14:paraId="0367D605" w14:textId="14792A26" w:rsidR="00017B1C" w:rsidRPr="00017B1C" w:rsidRDefault="00017B1C" w:rsidP="00017B1C">
          <w:pPr>
            <w:pStyle w:val="Header"/>
            <w:rPr>
              <w:bCs/>
              <w:lang w:val="en-GB"/>
            </w:rPr>
          </w:pPr>
        </w:p>
      </w:tc>
    </w:tr>
  </w:tbl>
  <w:p w14:paraId="040B4A53" w14:textId="156639D3" w:rsidR="00017B1C" w:rsidRDefault="00017B1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B1C"/>
    <w:rsid w:val="00017B1C"/>
    <w:rsid w:val="001D450C"/>
    <w:rsid w:val="0028009B"/>
    <w:rsid w:val="005E6CAC"/>
    <w:rsid w:val="00687075"/>
    <w:rsid w:val="00687CBE"/>
    <w:rsid w:val="0080229C"/>
    <w:rsid w:val="0090443F"/>
    <w:rsid w:val="009B1ADE"/>
    <w:rsid w:val="00C116ED"/>
    <w:rsid w:val="00D05857"/>
    <w:rsid w:val="00D169D8"/>
    <w:rsid w:val="00D52598"/>
    <w:rsid w:val="00D8142B"/>
    <w:rsid w:val="00E771F4"/>
    <w:rsid w:val="00EC4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9C5026"/>
  <w15:chartTrackingRefBased/>
  <w15:docId w15:val="{E819DE8F-BC30-4A5B-8F9A-0BFD278CD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7B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7B1C"/>
  </w:style>
  <w:style w:type="paragraph" w:styleId="Footer">
    <w:name w:val="footer"/>
    <w:basedOn w:val="Normal"/>
    <w:link w:val="FooterChar"/>
    <w:uiPriority w:val="99"/>
    <w:unhideWhenUsed/>
    <w:rsid w:val="00017B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7B1C"/>
  </w:style>
  <w:style w:type="table" w:styleId="TableGrid">
    <w:name w:val="Table Grid"/>
    <w:basedOn w:val="TableNormal"/>
    <w:uiPriority w:val="39"/>
    <w:rsid w:val="00017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22956-81F9-4985-8E4B-09F32FD25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Spha Madondo</dc:creator>
  <cp:keywords/>
  <dc:description/>
  <cp:lastModifiedBy>Spha Madondo</cp:lastModifiedBy>
  <cp:revision>3</cp:revision>
  <dcterms:created xsi:type="dcterms:W3CDTF">2022-09-22T10:09:00Z</dcterms:created>
  <dcterms:modified xsi:type="dcterms:W3CDTF">2022-09-22T10:09:00Z</dcterms:modified>
</cp:coreProperties>
</file>